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55495968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AE62F7">
        <w:rPr>
          <w:position w:val="-20"/>
          <w:sz w:val="28"/>
          <w:szCs w:val="28"/>
        </w:rPr>
        <w:t>15 сентября</w:t>
      </w:r>
      <w:r w:rsidR="008C1607"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E62F7">
        <w:rPr>
          <w:position w:val="-20"/>
          <w:sz w:val="28"/>
          <w:szCs w:val="28"/>
        </w:rPr>
        <w:t>20</w:t>
      </w:r>
      <w:r w:rsidRPr="005650B5">
        <w:rPr>
          <w:position w:val="-20"/>
          <w:sz w:val="28"/>
          <w:szCs w:val="28"/>
        </w:rPr>
        <w:t>-</w:t>
      </w:r>
      <w:r w:rsidR="008C1607">
        <w:rPr>
          <w:position w:val="-20"/>
          <w:sz w:val="28"/>
          <w:szCs w:val="28"/>
        </w:rPr>
        <w:t>2</w:t>
      </w:r>
      <w:r w:rsidR="00AE62F7">
        <w:rPr>
          <w:position w:val="-20"/>
          <w:sz w:val="28"/>
          <w:szCs w:val="28"/>
        </w:rPr>
        <w:t>84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2693"/>
        <w:gridCol w:w="2268"/>
        <w:gridCol w:w="1701"/>
        <w:gridCol w:w="1418"/>
        <w:gridCol w:w="5386"/>
      </w:tblGrid>
      <w:tr w:rsidR="00AE62F7" w:rsidRPr="00B57E20" w14:paraId="63564763" w14:textId="77777777" w:rsidTr="00F6344C">
        <w:trPr>
          <w:trHeight w:val="5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832E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70C0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44F4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F7E4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C8F5" w14:textId="77777777" w:rsidR="00AE62F7" w:rsidRPr="002462DE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65BC2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B0BF4" w14:textId="77777777" w:rsidR="00AE62F7" w:rsidRPr="00B57E20" w:rsidRDefault="00AE62F7" w:rsidP="00F6344C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AE62F7" w:rsidRPr="00B57E20" w14:paraId="24D5FA95" w14:textId="77777777" w:rsidTr="00F6344C">
        <w:trPr>
          <w:trHeight w:val="84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8032" w14:textId="77777777" w:rsidR="00AE62F7" w:rsidRPr="00B57E20" w:rsidRDefault="00AE62F7" w:rsidP="00F6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932" w14:textId="77777777" w:rsidR="00AE62F7" w:rsidRDefault="00AE62F7" w:rsidP="00F6344C">
            <w:proofErr w:type="spellStart"/>
            <w:r w:rsidRPr="005A2FA4">
              <w:rPr>
                <w:color w:val="000000"/>
              </w:rPr>
              <w:t>Везикова</w:t>
            </w:r>
            <w:proofErr w:type="spellEnd"/>
            <w:r w:rsidRPr="005A2FA4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D6E5" w14:textId="77777777" w:rsidR="00AE62F7" w:rsidRPr="005A2FA4" w:rsidRDefault="00AE62F7" w:rsidP="00F6344C">
            <w:r w:rsidRPr="005A2FA4">
              <w:t xml:space="preserve">Организовать регулируемый пешеходный переход на перекрестке ул. </w:t>
            </w:r>
            <w:proofErr w:type="spellStart"/>
            <w:r w:rsidRPr="005A2FA4">
              <w:t>Ригачина</w:t>
            </w:r>
            <w:proofErr w:type="spellEnd"/>
            <w:r w:rsidRPr="005A2FA4">
              <w:t xml:space="preserve"> и </w:t>
            </w:r>
            <w:proofErr w:type="spellStart"/>
            <w:r w:rsidRPr="005A2FA4">
              <w:t>пр</w:t>
            </w:r>
            <w:r>
              <w:t>-кт</w:t>
            </w:r>
            <w:proofErr w:type="spellEnd"/>
            <w:r w:rsidRPr="005A2FA4">
              <w:t xml:space="preserve"> Александра Невского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DFF7" w14:textId="77777777" w:rsidR="00AE62F7" w:rsidRPr="005A2FA4" w:rsidRDefault="00AE62F7" w:rsidP="00F6344C">
            <w:r w:rsidRPr="005A2FA4">
              <w:t xml:space="preserve">Перекресток ул. </w:t>
            </w:r>
            <w:proofErr w:type="spellStart"/>
            <w:r w:rsidRPr="005A2FA4">
              <w:t>Ригачина</w:t>
            </w:r>
            <w:proofErr w:type="spellEnd"/>
            <w:r w:rsidRPr="005A2FA4">
              <w:t xml:space="preserve"> и </w:t>
            </w:r>
            <w:r>
              <w:br/>
            </w:r>
            <w:proofErr w:type="spellStart"/>
            <w:r w:rsidRPr="005A2FA4">
              <w:t>пр</w:t>
            </w:r>
            <w:r>
              <w:t>-кт</w:t>
            </w:r>
            <w:proofErr w:type="spellEnd"/>
            <w:r w:rsidRPr="005A2FA4">
              <w:t xml:space="preserve"> Александра Невского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D939" w14:textId="77777777" w:rsidR="00AE62F7" w:rsidRPr="00B57E20" w:rsidRDefault="00AE62F7" w:rsidP="00F6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5F63" w14:textId="77777777" w:rsidR="00AE62F7" w:rsidRPr="00B57E20" w:rsidRDefault="00AE62F7" w:rsidP="00F6344C">
            <w:pPr>
              <w:rPr>
                <w:color w:val="000000"/>
              </w:rPr>
            </w:pPr>
            <w:r>
              <w:rPr>
                <w:color w:val="000000"/>
              </w:rPr>
              <w:t>2023-2026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2039" w14:textId="77777777" w:rsidR="00AE62F7" w:rsidRPr="00B57E20" w:rsidRDefault="00AE62F7" w:rsidP="00F6344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оборудованию регулируемого пешеходного перехода могут быть осуществлены при условии включения расходов на финансирование указанных работ в бюджет Петрозаводского городского округа в сумме порядка 5,0 млн руб.</w:t>
            </w:r>
          </w:p>
        </w:tc>
      </w:tr>
      <w:tr w:rsidR="00AE62F7" w:rsidRPr="00B57E20" w14:paraId="0CE25D5D" w14:textId="77777777" w:rsidTr="00F6344C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F1BB" w14:textId="77777777" w:rsidR="00AE62F7" w:rsidRPr="00B57E20" w:rsidRDefault="00AE62F7" w:rsidP="00F6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7757" w14:textId="77777777" w:rsidR="00AE62F7" w:rsidRDefault="00AE62F7" w:rsidP="00F6344C">
            <w:proofErr w:type="spellStart"/>
            <w:r w:rsidRPr="005A2FA4">
              <w:rPr>
                <w:color w:val="000000"/>
              </w:rPr>
              <w:t>Калько</w:t>
            </w:r>
            <w:proofErr w:type="spellEnd"/>
            <w:r w:rsidRPr="005A2FA4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75E" w14:textId="77777777" w:rsidR="00AE62F7" w:rsidRPr="005A2FA4" w:rsidRDefault="00AE62F7" w:rsidP="00F6344C">
            <w:r w:rsidRPr="005A2FA4">
              <w:t xml:space="preserve">Отремонтировать подъезды к понтонному мосту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4EB" w14:textId="77777777" w:rsidR="00AE62F7" w:rsidRPr="005A2FA4" w:rsidRDefault="00AE62F7" w:rsidP="00F6344C">
            <w:r w:rsidRPr="005A2FA4">
              <w:t xml:space="preserve">Подъезд к понтонному мосту со стороны </w:t>
            </w:r>
            <w:r>
              <w:br/>
            </w:r>
            <w:r w:rsidRPr="005A2FA4">
              <w:t xml:space="preserve">ул. 9 </w:t>
            </w:r>
            <w:r>
              <w:t>Я</w:t>
            </w:r>
            <w:r w:rsidRPr="005A2FA4">
              <w:t xml:space="preserve">нваря и </w:t>
            </w:r>
            <w:proofErr w:type="spellStart"/>
            <w:r w:rsidRPr="005A2FA4">
              <w:t>Логмозерского</w:t>
            </w:r>
            <w:proofErr w:type="spellEnd"/>
            <w:r w:rsidRPr="005A2FA4"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380F" w14:textId="77777777" w:rsidR="00AE62F7" w:rsidRPr="00B57E20" w:rsidRDefault="00AE62F7" w:rsidP="00F6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6560" w14:textId="77777777" w:rsidR="00AE62F7" w:rsidRDefault="00AE62F7" w:rsidP="00F6344C">
            <w:r>
              <w:rPr>
                <w:color w:val="000000"/>
              </w:rPr>
              <w:t>2023-2026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EA1F" w14:textId="77777777" w:rsidR="00AE62F7" w:rsidRPr="00B57E20" w:rsidRDefault="00AE62F7" w:rsidP="00F6344C">
            <w:pPr>
              <w:rPr>
                <w:color w:val="000000"/>
              </w:rPr>
            </w:pPr>
            <w:r>
              <w:rPr>
                <w:color w:val="000000"/>
              </w:rPr>
              <w:t>Указанные объекты улично-дорожной сети включены в перечень объектов, требующих проведения ремонта асфальтобетонного покрытия. Ориентировочная стоимость работ составляет порядка 0,25 млн руб.</w:t>
            </w:r>
          </w:p>
        </w:tc>
      </w:tr>
      <w:tr w:rsidR="00AE62F7" w:rsidRPr="00B57E20" w14:paraId="485DB849" w14:textId="77777777" w:rsidTr="00F6344C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1CE" w14:textId="77777777" w:rsidR="00AE62F7" w:rsidRPr="00B57E20" w:rsidRDefault="00AE62F7" w:rsidP="00F6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CE72" w14:textId="77777777" w:rsidR="00AE62F7" w:rsidRDefault="00AE62F7" w:rsidP="00F6344C">
            <w:proofErr w:type="spellStart"/>
            <w:r w:rsidRPr="005A2FA4">
              <w:rPr>
                <w:color w:val="000000"/>
              </w:rPr>
              <w:t>Калько</w:t>
            </w:r>
            <w:proofErr w:type="spellEnd"/>
            <w:r w:rsidRPr="005A2FA4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064" w14:textId="77777777" w:rsidR="00AE62F7" w:rsidRPr="005A2FA4" w:rsidRDefault="00AE62F7" w:rsidP="00F6344C">
            <w:r>
              <w:t xml:space="preserve">Заасфальтировать </w:t>
            </w:r>
            <w:r>
              <w:br/>
              <w:t>ул. Пугачева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FEB" w14:textId="77777777" w:rsidR="00AE62F7" w:rsidRPr="005A2FA4" w:rsidRDefault="00AE62F7" w:rsidP="00F6344C">
            <w:r w:rsidRPr="005A2FA4">
              <w:t>ул. Пугачева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7B5" w14:textId="77777777" w:rsidR="00AE62F7" w:rsidRPr="005A2FA4" w:rsidRDefault="00AE62F7" w:rsidP="00F634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КГиЗ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КЖКХ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BA1B" w14:textId="77777777" w:rsidR="00AE62F7" w:rsidRDefault="00AE62F7" w:rsidP="00F6344C">
            <w:r>
              <w:rPr>
                <w:color w:val="000000"/>
              </w:rPr>
              <w:t>2023-2026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69638" w14:textId="77777777" w:rsidR="00AE62F7" w:rsidRPr="00274AC6" w:rsidRDefault="00AE62F7" w:rsidP="00F6344C">
            <w:pPr>
              <w:rPr>
                <w:rFonts w:ascii="Calibri" w:hAnsi="Calibri"/>
                <w:color w:val="1F497D"/>
              </w:rPr>
            </w:pPr>
            <w:r>
              <w:t xml:space="preserve">Улица Пугачева имеет грунтовое покрытие. Для приведения автодороги в нормативное состояние в соответствии с требованиями нормативных </w:t>
            </w:r>
            <w:r w:rsidRPr="00274AC6">
              <w:t>документов необходимо выполнение работ по реконструкции объекта. В настоящее время четкие границы проезжей части (материал конструкции – песчано-гравийная смесь) отсутствуют, фактическое расстояние от кромки проезжей части до заборов жилых домов составляет 1,5-1,7 м. Согласно нормативам проектирования,</w:t>
            </w:r>
            <w:r>
              <w:t xml:space="preserve"> </w:t>
            </w:r>
            <w:r w:rsidRPr="00274AC6">
              <w:t>ширина тротуара должна составлять 2,25 м. Кроме этого</w:t>
            </w:r>
            <w:r>
              <w:t>,</w:t>
            </w:r>
            <w:r w:rsidRPr="00274AC6">
              <w:t xml:space="preserve"> работы по устройству тротуаров не выполнить без переустройства линий </w:t>
            </w:r>
            <w:r>
              <w:t>электроосвещения</w:t>
            </w:r>
            <w:r w:rsidRPr="00274AC6">
              <w:t xml:space="preserve">. Решение данных вопросов возможно только с учетом разработки и реализации проекта реконструкции улицы с изъятием части земельных участков граждан, чьи земельные участки попадают в границы расширения улицы для устройства пешеходных тротуаров. Для строительства (реконструкции) линейного объекта требуется разработка и утверждение проекта планировки и проекта межевания территории, предназначенной для размещения линейного объекта с проведением публичных слушаний, а также прохождение проектной документацией государственной экспертизы. Ориентировочный срок разработки указанной документации - от одного года до </w:t>
            </w:r>
            <w:r w:rsidRPr="00274AC6">
              <w:lastRenderedPageBreak/>
              <w:t>двух лет при условии выделения финансирования. При выполнении работ по реконструкции данной улицы необходимо решить вопрос изъятия части земельных участков, попадающих в границы расширения дороги с целью обустройства тротуаров либо пешеходных дорожек, решения вопросов инженерной инфраструктуры (во</w:t>
            </w:r>
            <w:r>
              <w:t>доотвод и наружное освещение)</w:t>
            </w:r>
            <w:r w:rsidRPr="00274AC6">
              <w:t xml:space="preserve"> и иных вопросов, которые должны быть решены при выполнении реконструкции автомобильной дороги</w:t>
            </w:r>
            <w:r>
              <w:t>. Затраты на выкуп частей </w:t>
            </w:r>
            <w:r w:rsidRPr="00274AC6">
              <w:t>земельных участков, и</w:t>
            </w:r>
            <w:r>
              <w:t>,</w:t>
            </w:r>
            <w:r w:rsidRPr="00274AC6">
              <w:t xml:space="preserve"> возможно объектов капитального строительства, во много раз превышает стоимость выполнения работ по реконструкции, которая составляет ориентировочно 100,0 млн. руб. (0,243 км.).</w:t>
            </w:r>
            <w:r w:rsidRPr="00274AC6">
              <w:rPr>
                <w:rFonts w:ascii="Calibri" w:hAnsi="Calibri"/>
              </w:rPr>
              <w:t xml:space="preserve"> </w:t>
            </w:r>
          </w:p>
        </w:tc>
      </w:tr>
    </w:tbl>
    <w:p w14:paraId="4E73AF78" w14:textId="77777777" w:rsidR="00AE62F7" w:rsidRDefault="00AE62F7" w:rsidP="00AE62F7"/>
    <w:p w14:paraId="31AB2D24" w14:textId="75BCF226" w:rsidR="00FE6963" w:rsidRDefault="00FE6963" w:rsidP="00FE6963">
      <w:pPr>
        <w:jc w:val="right"/>
      </w:pPr>
    </w:p>
    <w:p w14:paraId="4398826A" w14:textId="77777777" w:rsidR="00AE62F7" w:rsidRDefault="00AE62F7" w:rsidP="00FE6963">
      <w:pPr>
        <w:jc w:val="right"/>
      </w:pPr>
    </w:p>
    <w:p w14:paraId="603BF0BC" w14:textId="77777777" w:rsidR="00AE62F7" w:rsidRDefault="00AE62F7" w:rsidP="00FE6963">
      <w:pPr>
        <w:jc w:val="right"/>
      </w:pPr>
    </w:p>
    <w:p w14:paraId="744F9282" w14:textId="77777777" w:rsidR="00AE62F7" w:rsidRDefault="00AE62F7" w:rsidP="00FE6963">
      <w:pPr>
        <w:jc w:val="right"/>
      </w:pPr>
    </w:p>
    <w:p w14:paraId="4325901C" w14:textId="77777777" w:rsidR="00AE62F7" w:rsidRPr="006A01AD" w:rsidRDefault="00AE62F7" w:rsidP="00FE6963">
      <w:pPr>
        <w:jc w:val="right"/>
      </w:pPr>
    </w:p>
    <w:sectPr w:rsidR="00AE62F7" w:rsidRPr="006A01AD" w:rsidSect="00AE62F7">
      <w:foot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735C" w14:textId="77777777" w:rsidR="001E32ED" w:rsidRDefault="001E32ED" w:rsidP="00885C31">
      <w:r>
        <w:separator/>
      </w:r>
    </w:p>
  </w:endnote>
  <w:endnote w:type="continuationSeparator" w:id="0">
    <w:p w14:paraId="197C3CFB" w14:textId="77777777" w:rsidR="001E32ED" w:rsidRDefault="001E32ED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4B51" w14:textId="77777777" w:rsidR="001E32ED" w:rsidRDefault="001E32ED" w:rsidP="00885C31">
      <w:r>
        <w:separator/>
      </w:r>
    </w:p>
  </w:footnote>
  <w:footnote w:type="continuationSeparator" w:id="0">
    <w:p w14:paraId="2FFB5D6F" w14:textId="77777777" w:rsidR="001E32ED" w:rsidRDefault="001E32ED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1E32ED"/>
    <w:rsid w:val="00220501"/>
    <w:rsid w:val="00234299"/>
    <w:rsid w:val="002D1612"/>
    <w:rsid w:val="002D359C"/>
    <w:rsid w:val="003A4C01"/>
    <w:rsid w:val="003F60D0"/>
    <w:rsid w:val="00493370"/>
    <w:rsid w:val="005420B1"/>
    <w:rsid w:val="0062231C"/>
    <w:rsid w:val="00662831"/>
    <w:rsid w:val="00685E30"/>
    <w:rsid w:val="006A631C"/>
    <w:rsid w:val="00822F84"/>
    <w:rsid w:val="00885C31"/>
    <w:rsid w:val="008C1607"/>
    <w:rsid w:val="009D7F34"/>
    <w:rsid w:val="00AB0209"/>
    <w:rsid w:val="00AE62F7"/>
    <w:rsid w:val="00B476A9"/>
    <w:rsid w:val="00B51946"/>
    <w:rsid w:val="00BB282B"/>
    <w:rsid w:val="00D75260"/>
    <w:rsid w:val="00F00815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Александр Ханцевич</cp:lastModifiedBy>
  <cp:revision>11</cp:revision>
  <dcterms:created xsi:type="dcterms:W3CDTF">2019-12-18T06:56:00Z</dcterms:created>
  <dcterms:modified xsi:type="dcterms:W3CDTF">2023-09-12T06:13:00Z</dcterms:modified>
</cp:coreProperties>
</file>