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Уважаемые жители!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Представляю вашему вниманию отчет о проделанной работе в качестве депутата Петрозаводского городского Совета 29 созыва избранного 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в составе общей части списка партии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«СПРАВЕДЛИВАЯ РОССИЯ – ПАТРИОТЫ - ЗА ПРАВДУ» за период ноябрь 2021 - декабрь 2022 года.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Свою работу я выстраиваю по нескольким направлениям, каждому из которых я стараюсь уделять максимальное внимание. В этом отчете я остановлюсь на направлении, которое, как мне кажется, является основным в работе депутата:  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Оказание помощи в решении вопросов, по которым обращаются жители города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обращения в мой адрес, у вас есть несколько способов связи со мной: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fbfbfb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Через социальную сеть «ВКонтакте»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fbfbfb" w:val="clear"/>
          <w:vertAlign w:val="baseline"/>
          <w:rtl w:val="0"/>
        </w:rPr>
        <w:t xml:space="preserve">Используя мобильный номер телефона и мобильное приложение  Telegram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fbfbfb" w:val="clear"/>
          <w:vertAlign w:val="baseline"/>
          <w:rtl w:val="0"/>
        </w:rPr>
        <w:t xml:space="preserve">Проведение ежемесячных телефонных «горячих линий»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fbfbfb" w:val="clear"/>
          <w:vertAlign w:val="baseline"/>
          <w:rtl w:val="0"/>
        </w:rPr>
        <w:t xml:space="preserve">Непосредственные встречи на проводимых ежемесячно приемах партии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«СПРАВЕДЛИВАЯ РОССИЯ – ПАТРИОТЫ - ЗА ПРАВДУ» 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отчетный период в мой адрес обратилось 443 человека по следующим вопросам: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Консультации по вопросам подготовки заявлений и жалоб на нарушения, которые допускают управляющие компании при обслуживании МКД – 163 обр.,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Незаконное распространение наркотических средств на территории Петрозаводского городского округа – 12 обр.,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Недостаточный уровень освещенности на дорогах и дворовых территориях – 25 обр.,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Неудовлетворительная уборка территории Петрозаводского городского округа – 12 обр.,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Соблюдение прав жителей города на выделение им земельных участков под размещение гаражей – 2 обр.,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Неудовлетворительная работа сети ливневой канализации 16 обр.,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Неудовлетворительная уборка мест для складирования ТКО – 18 обр.,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Незаконное захоронение домашних животных на территории города – 7 обр.,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по благоустройству общественных территорий и вопросы по участию жителей города в программах по благоустройству – 26 обр.,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по организации работы общественного транспорта 35 обр.,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по введению в лечебных и образовательных организациях ограничениях в связи с использованием QR-кодов – 19 обр.,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социального обеспечения граждан пожилого возраста – 17 обр.,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по оказанию мер социальной поддержки мобилизованных граждан и добровольцев при исполнении воинского долга СВО – 26 обр.,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Вопросы по организации бесплатного проезда для отдельных категорий граждан в общественном транспорте Петрозаводского городского округа – 1 обр. общественной организации,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ремонта дорог общего пользования на территории Петрозаводского городского округа – 29 обр.,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безопасности дорожного движения – 35 обр.,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Табл. 1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848350" cy="3200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каждому обращению жителям давались устные или письменные консультации. Вопросы по освещению и уборке территорий города направлялись в администрацию Петрозаводского городского округа. В случае вопросов правового регулирования вопросов, внесения изменений в федеральное или региональное законодательство, обращения граждан направлялись депутатам фракции «СПРАВЕДЛИВАЯ РОССИЯ – ПАТРИОТЫ - ЗА ПРАВДУ» Законодательного Собрания Республики Карелия. 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случае, когда озвученные жителями вопросы не относились к полномочиям органов местного самоуправления, готовились обращения Главе Республики Карелия, в органы государственной власти Республики Карелия,  ГИБДД МВД гор. Петрозаводска, МВД и Прокуратуру Республики Карелия. О направляемых запросах и поступивших ответах жители города своевременно информировались. Дополнительно к этому, копии направляемых запросов и ответов размещались для ознакомления на личной странице в социальной сети «ВКонтакте» и на созданном Telegram канале.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Депутат Петрозаводского городского округа                                                    А. С. Рогалевич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shd w:fill="fbfbfb" w:val="clear"/>
        </w:rPr>
        <w:drawing>
          <wp:inline distB="0" distT="0" distL="0" distR="0">
            <wp:extent cx="752475" cy="752475"/>
            <wp:effectExtent b="0" l="0" r="0" t="0"/>
            <wp:docPr descr="qr-code (1).gif" id="2" name="image1.gif"/>
            <a:graphic>
              <a:graphicData uri="http://schemas.openxmlformats.org/drawingml/2006/picture">
                <pic:pic>
                  <pic:nvPicPr>
                    <pic:cNvPr descr="qr-code (1).gif"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shd w:fill="fbfbfb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sectPr>
      <w:headerReference r:id="rId8" w:type="default"/>
      <w:footerReference r:id="rId9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gif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